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
        <w:spacing w:before="480" w:after="0"/>
        <w:rPr/>
      </w:pPr>
      <w:bookmarkStart w:id="0" w:name="concerning-the-dataset-tst.tsv"/>
      <w:r>
        <w:rPr/>
        <w:t>Concerning the dataset “tst.tsv”</w:t>
      </w:r>
      <w:bookmarkEnd w:id="0"/>
    </w:p>
    <w:p>
      <w:pPr>
        <w:pStyle w:val="Rubrik2"/>
        <w:rPr/>
      </w:pPr>
      <w:bookmarkStart w:id="1" w:name="background"/>
      <w:r>
        <w:rPr/>
        <w:t>Background</w:t>
      </w:r>
      <w:bookmarkEnd w:id="1"/>
    </w:p>
    <w:p>
      <w:pPr>
        <w:pStyle w:val="FirstParagraph"/>
        <w:rPr/>
      </w:pPr>
      <w:r>
        <w:rPr/>
        <w:t xml:space="preserve">This dataset concerns prescribing of the male sex hormone </w:t>
      </w:r>
      <w:r>
        <w:rPr>
          <w:i/>
          <w:iCs/>
        </w:rPr>
        <w:t>testosterone</w:t>
      </w:r>
      <w:r>
        <w:rPr/>
        <w:t xml:space="preserve"> at primary health care centres (vårdcentraler, PHCC) in the Västra Götaland (VG) region. Testosterone has a number of medical uses, chiefly for men with congenital deficiencies such as Klinefelter’s syndrome. There is, however, an increasing use for medically dubious diagnoses such as “male menopause”, “late-onset hypogonadism” and “low-t syndrome”. These consist of an ill-defined collection of symptoms such as “decreased energy” and “less enthusiasm”, for which there is no evidence whatsoever that testosterone is a reasonable treatment. As the male sex hormone is linked to side effects such as cardiovascular disease (possibly the reason for males being more susceptible to myocardial infarction, etc, than women), such use is of great concern.</w:t>
      </w:r>
    </w:p>
    <w:p>
      <w:pPr>
        <w:pStyle w:val="Brdtext"/>
        <w:rPr/>
      </w:pPr>
      <w:r>
        <w:rPr/>
        <w:t>Nevertheless, some prescribers have a very liberal view of who should be prescribed testosterone, and there are even specialized one-purpose clinics that direct their marketing mainly to middle-aged men, promising a quick fix to their health problems through sex hormone treatment. These clinics frequently sell “kits” of testosterone lab analyses and, when results turn out to be below some rather arbitrary cut-off level, offer customers prescriptions of testosterone.</w:t>
      </w:r>
    </w:p>
    <w:p>
      <w:pPr>
        <w:pStyle w:val="Rubrik2"/>
        <w:rPr/>
      </w:pPr>
      <w:bookmarkStart w:id="2" w:name="aims"/>
      <w:r>
        <w:rPr/>
        <w:t>Aims</w:t>
      </w:r>
      <w:bookmarkEnd w:id="2"/>
    </w:p>
    <w:p>
      <w:pPr>
        <w:pStyle w:val="Compact"/>
        <w:numPr>
          <w:ilvl w:val="0"/>
          <w:numId w:val="1"/>
        </w:numPr>
        <w:rPr/>
      </w:pPr>
      <w:r>
        <w:rPr/>
        <w:t>To describe the development of testosterone prescribing over time in the VG region.</w:t>
      </w:r>
    </w:p>
    <w:p>
      <w:pPr>
        <w:pStyle w:val="Compact"/>
        <w:numPr>
          <w:ilvl w:val="0"/>
          <w:numId w:val="1"/>
        </w:numPr>
        <w:rPr/>
      </w:pPr>
      <w:r>
        <w:rPr/>
        <w:t>To analyse trends in testosterone prescribing in relation to the number of registered patients at the PHCC.</w:t>
      </w:r>
    </w:p>
    <w:p>
      <w:pPr>
        <w:pStyle w:val="Compact"/>
        <w:numPr>
          <w:ilvl w:val="0"/>
          <w:numId w:val="1"/>
        </w:numPr>
        <w:rPr/>
      </w:pPr>
      <w:r>
        <w:rPr/>
        <w:t>To measure any effect of the PHCC’s geographical location, such as a north-south gradient, and possible “contagion” between nearby PHCC’s.</w:t>
      </w:r>
    </w:p>
    <w:p>
      <w:pPr>
        <w:pStyle w:val="Rubrik2"/>
        <w:rPr/>
      </w:pPr>
      <w:bookmarkStart w:id="3" w:name="desired-outcomes"/>
      <w:r>
        <w:rPr/>
        <w:t>Desired outcomes</w:t>
      </w:r>
      <w:bookmarkEnd w:id="3"/>
    </w:p>
    <w:p>
      <w:pPr>
        <w:pStyle w:val="Compact"/>
        <w:numPr>
          <w:ilvl w:val="0"/>
          <w:numId w:val="6"/>
        </w:numPr>
        <w:rPr/>
      </w:pPr>
      <w:r>
        <w:rPr/>
        <w:t>Univariate and multivariate analyses of the above aims.</w:t>
      </w:r>
    </w:p>
    <w:p>
      <w:pPr>
        <w:pStyle w:val="Compact"/>
        <w:numPr>
          <w:ilvl w:val="0"/>
          <w:numId w:val="7"/>
        </w:numPr>
        <w:rPr/>
      </w:pPr>
      <w:r>
        <w:rPr/>
        <w:t>Visualization of different PHCCs’ prescribing over time, preferably interactive, e.g. using R geospatial packages “ggplot2”, “leaflet” and “shiny” (see “example1.png” for idea).</w:t>
      </w:r>
    </w:p>
    <w:p>
      <w:pPr>
        <w:pStyle w:val="Rubrik2"/>
        <w:rPr/>
      </w:pPr>
      <w:bookmarkStart w:id="4" w:name="possible-extension"/>
      <w:r>
        <w:rPr/>
        <w:t>Possible extension</w:t>
      </w:r>
      <w:bookmarkEnd w:id="4"/>
    </w:p>
    <w:p>
      <w:pPr>
        <w:pStyle w:val="Compact"/>
        <w:numPr>
          <w:ilvl w:val="0"/>
          <w:numId w:val="8"/>
        </w:numPr>
        <w:rPr/>
      </w:pPr>
      <w:r>
        <w:rPr/>
        <w:t>Information on what company runs the PHCCs is available from the API below (variable “foretag”), a comparison could be made between PHCCs run by the region (Närhälsan), non-profits (Bräcke Diakoni) and private enterprises (all others), as well as the size of these companies measured by number of owned PHCCs.</w:t>
      </w:r>
    </w:p>
    <w:p>
      <w:pPr>
        <w:pStyle w:val="Compact"/>
        <w:numPr>
          <w:ilvl w:val="0"/>
          <w:numId w:val="9"/>
        </w:numPr>
        <w:rPr/>
      </w:pPr>
      <w:r>
        <w:rPr/>
        <w:t>Socioeconomic data could be added from official sources (e.g. through post code) and used as a co-variate to investigate any urban-rural or wealthy-poor gradient.</w:t>
      </w:r>
    </w:p>
    <w:p>
      <w:pPr>
        <w:pStyle w:val="Rubrik2"/>
        <w:rPr/>
      </w:pPr>
      <w:bookmarkStart w:id="5" w:name="dataset-description"/>
      <w:r>
        <w:rPr/>
        <w:t>Dataset description</w:t>
      </w:r>
      <w:bookmarkEnd w:id="5"/>
    </w:p>
    <w:p>
      <w:pPr>
        <w:pStyle w:val="FirstParagraph"/>
        <w:rPr/>
      </w:pPr>
      <w:r>
        <w:rPr/>
        <w:t>The dataset “tst.tsv” consist of 1933 lines exported from the databases “Digitalis” and “VEGA”, (thanks to pharmacist Sofia Axia Karlsson for help with this!), as a tab-separated text file. The variables DDD and Prsc are masked as “x”, for reasons of confidentiality, where the number of outcomes are ≤5 unless zero.</w:t>
      </w:r>
    </w:p>
    <w:p>
      <w:pPr>
        <w:pStyle w:val="Compact"/>
        <w:numPr>
          <w:ilvl w:val="0"/>
          <w:numId w:val="10"/>
        </w:numPr>
        <w:rPr/>
      </w:pPr>
      <w:r>
        <w:rPr/>
        <w:t>PHCC : name of primary health care centre (n=211)</w:t>
      </w:r>
    </w:p>
    <w:p>
      <w:pPr>
        <w:pStyle w:val="Compact"/>
        <w:numPr>
          <w:ilvl w:val="0"/>
          <w:numId w:val="4"/>
        </w:numPr>
        <w:rPr/>
      </w:pPr>
      <w:r>
        <w:rPr/>
        <w:t>Code : unique code of PHCC (in case of name change)</w:t>
      </w:r>
    </w:p>
    <w:p>
      <w:pPr>
        <w:pStyle w:val="Compact"/>
        <w:numPr>
          <w:ilvl w:val="0"/>
          <w:numId w:val="4"/>
        </w:numPr>
        <w:rPr/>
      </w:pPr>
      <w:r>
        <w:rPr/>
        <w:t>Year : period, 2011–2020</w:t>
      </w:r>
    </w:p>
    <w:p>
      <w:pPr>
        <w:pStyle w:val="Compact"/>
        <w:numPr>
          <w:ilvl w:val="0"/>
          <w:numId w:val="4"/>
        </w:numPr>
        <w:rPr/>
      </w:pPr>
      <w:r>
        <w:rPr/>
        <w:t>List : number of patients registered at PHCC that year</w:t>
      </w:r>
    </w:p>
    <w:p>
      <w:pPr>
        <w:pStyle w:val="Compact"/>
        <w:numPr>
          <w:ilvl w:val="0"/>
          <w:numId w:val="4"/>
        </w:numPr>
        <w:rPr/>
      </w:pPr>
      <w:r>
        <w:rPr/>
        <w:t xml:space="preserve">DDD : number of defined daily doses of testosterone per year, collected by patients </w:t>
      </w:r>
      <w:r>
        <w:rPr>
          <w:b/>
          <w:bCs/>
        </w:rPr>
        <w:t>§</w:t>
      </w:r>
    </w:p>
    <w:p>
      <w:pPr>
        <w:pStyle w:val="Compact"/>
        <w:numPr>
          <w:ilvl w:val="0"/>
          <w:numId w:val="4"/>
        </w:numPr>
        <w:rPr/>
      </w:pPr>
      <w:r>
        <w:rPr/>
        <w:t xml:space="preserve">Prsc : number of prescriptions per year collected by patients </w:t>
      </w:r>
      <w:r>
        <w:rPr>
          <w:b/>
          <w:bCs/>
        </w:rPr>
        <w:t>¶</w:t>
      </w:r>
    </w:p>
    <w:p>
      <w:pPr>
        <w:pStyle w:val="Compact"/>
        <w:numPr>
          <w:ilvl w:val="0"/>
          <w:numId w:val="4"/>
        </w:numPr>
        <w:rPr/>
      </w:pPr>
      <w:r>
        <w:rPr/>
        <w:t xml:space="preserve">Xcor : x-coordinate of PHCC </w:t>
      </w:r>
      <w:r>
        <w:rPr>
          <w:b/>
          <w:bCs/>
        </w:rPr>
        <w:t>†</w:t>
      </w:r>
    </w:p>
    <w:p>
      <w:pPr>
        <w:pStyle w:val="Compact"/>
        <w:numPr>
          <w:ilvl w:val="0"/>
          <w:numId w:val="4"/>
        </w:numPr>
        <w:rPr/>
      </w:pPr>
      <w:r>
        <w:rPr/>
        <w:t xml:space="preserve">Ycor : y-coordinate of PHCC </w:t>
      </w:r>
      <w:r>
        <w:rPr>
          <w:b/>
          <w:bCs/>
        </w:rPr>
        <w:t>†</w:t>
      </w:r>
    </w:p>
    <w:p>
      <w:pPr>
        <w:pStyle w:val="FirstParagraph"/>
        <w:rPr/>
      </w:pPr>
      <w:r>
        <w:rPr/>
        <w:t>§ What one DDD of testosterone (ATC-code: G03BA03) is depends on the way it is administered, the available routes in Sweden are parenteral (injection) and transermal (gel), see table</w:t>
      </w:r>
      <w:r>
        <w:rPr/>
        <w:t xml:space="preserve">, source: </w:t>
      </w:r>
      <w:hyperlink r:id="rId2">
        <w:r>
          <w:rPr>
            <w:rStyle w:val="Internetlnk"/>
          </w:rPr>
          <w:t>WHO DDD</w:t>
        </w:r>
      </w:hyperlink>
      <w:r>
        <w:rPr>
          <w:rStyle w:val="Internetlnk"/>
        </w:rPr>
        <w:t>.</w:t>
      </w:r>
    </w:p>
    <w:tbl>
      <w:tblPr>
        <w:tblStyle w:val="Table"/>
        <w:tblW w:w="4500" w:type="pct"/>
        <w:jc w:val="left"/>
        <w:tblInd w:w="108" w:type="dxa"/>
        <w:tblCellMar>
          <w:top w:w="0" w:type="dxa"/>
          <w:left w:w="108" w:type="dxa"/>
          <w:bottom w:w="0" w:type="dxa"/>
          <w:right w:w="108" w:type="dxa"/>
        </w:tblCellMar>
        <w:tblLook w:firstRow="1"/>
      </w:tblPr>
      <w:tblGrid>
        <w:gridCol w:w="1403"/>
        <w:gridCol w:w="1538"/>
        <w:gridCol w:w="1270"/>
        <w:gridCol w:w="1404"/>
        <w:gridCol w:w="1404"/>
        <w:gridCol w:w="1404"/>
      </w:tblGrid>
      <w:tr>
        <w:trPr>
          <w:cnfStyle w:firstRow="1"/>
        </w:trPr>
        <w:tc>
          <w:tcPr>
            <w:tcW w:w="1403" w:type="dxa"/>
            <w:tcBorders>
              <w:bottom w:val="single" w:sz="6" w:space="0" w:color="000000"/>
            </w:tcBorders>
            <w:vAlign w:val="bottom"/>
          </w:tcPr>
          <w:p>
            <w:pPr>
              <w:pStyle w:val="Compact"/>
              <w:spacing w:before="36" w:after="36"/>
              <w:jc w:val="left"/>
              <w:rPr/>
            </w:pPr>
            <w:r>
              <w:rPr/>
              <w:t>ATC code</w:t>
            </w:r>
          </w:p>
        </w:tc>
        <w:tc>
          <w:tcPr>
            <w:tcW w:w="1538" w:type="dxa"/>
            <w:tcBorders>
              <w:bottom w:val="single" w:sz="6" w:space="0" w:color="000000"/>
            </w:tcBorders>
            <w:vAlign w:val="bottom"/>
          </w:tcPr>
          <w:p>
            <w:pPr>
              <w:pStyle w:val="Compact"/>
              <w:spacing w:before="36" w:after="36"/>
              <w:jc w:val="left"/>
              <w:rPr/>
            </w:pPr>
            <w:r>
              <w:rPr/>
              <w:t>Name</w:t>
            </w:r>
          </w:p>
        </w:tc>
        <w:tc>
          <w:tcPr>
            <w:tcW w:w="1270" w:type="dxa"/>
            <w:tcBorders>
              <w:bottom w:val="single" w:sz="6" w:space="0" w:color="000000"/>
            </w:tcBorders>
            <w:vAlign w:val="bottom"/>
          </w:tcPr>
          <w:p>
            <w:pPr>
              <w:pStyle w:val="Compact"/>
              <w:spacing w:before="36" w:after="36"/>
              <w:jc w:val="left"/>
              <w:rPr/>
            </w:pPr>
            <w:r>
              <w:rPr/>
              <w:t>DDD</w:t>
            </w:r>
          </w:p>
        </w:tc>
        <w:tc>
          <w:tcPr>
            <w:tcW w:w="1404" w:type="dxa"/>
            <w:tcBorders>
              <w:bottom w:val="single" w:sz="6" w:space="0" w:color="000000"/>
            </w:tcBorders>
            <w:vAlign w:val="bottom"/>
          </w:tcPr>
          <w:p>
            <w:pPr>
              <w:pStyle w:val="Compact"/>
              <w:spacing w:before="36" w:after="36"/>
              <w:jc w:val="left"/>
              <w:rPr/>
            </w:pPr>
            <w:r>
              <w:rPr/>
              <w:t>Unit</w:t>
            </w:r>
          </w:p>
        </w:tc>
        <w:tc>
          <w:tcPr>
            <w:tcW w:w="1404" w:type="dxa"/>
            <w:tcBorders>
              <w:bottom w:val="single" w:sz="6" w:space="0" w:color="000000"/>
            </w:tcBorders>
            <w:vAlign w:val="bottom"/>
          </w:tcPr>
          <w:p>
            <w:pPr>
              <w:pStyle w:val="Compact"/>
              <w:spacing w:before="36" w:after="36"/>
              <w:jc w:val="left"/>
              <w:rPr/>
            </w:pPr>
            <w:r>
              <w:rPr/>
              <w:t>Adm.R</w:t>
            </w:r>
          </w:p>
        </w:tc>
        <w:tc>
          <w:tcPr>
            <w:tcW w:w="1404" w:type="dxa"/>
            <w:tcBorders>
              <w:bottom w:val="single" w:sz="6" w:space="0" w:color="000000"/>
            </w:tcBorders>
            <w:vAlign w:val="bottom"/>
          </w:tcPr>
          <w:p>
            <w:pPr>
              <w:pStyle w:val="Compact"/>
              <w:spacing w:before="36" w:after="36"/>
              <w:jc w:val="left"/>
              <w:rPr/>
            </w:pPr>
            <w:r>
              <w:rPr/>
              <w:t>Note</w:t>
            </w:r>
          </w:p>
        </w:tc>
      </w:tr>
      <w:tr>
        <w:trPr/>
        <w:tc>
          <w:tcPr>
            <w:tcW w:w="1403" w:type="dxa"/>
            <w:tcBorders/>
          </w:tcPr>
          <w:p>
            <w:pPr>
              <w:pStyle w:val="Compact"/>
              <w:spacing w:before="36" w:after="36"/>
              <w:jc w:val="left"/>
              <w:rPr/>
            </w:pPr>
            <w:r>
              <w:rPr/>
              <w:t>G03BA03</w:t>
            </w:r>
          </w:p>
        </w:tc>
        <w:tc>
          <w:tcPr>
            <w:tcW w:w="1538" w:type="dxa"/>
            <w:tcBorders/>
          </w:tcPr>
          <w:p>
            <w:pPr>
              <w:pStyle w:val="Compact"/>
              <w:spacing w:before="36" w:after="36"/>
              <w:jc w:val="left"/>
              <w:rPr/>
            </w:pPr>
            <w:r>
              <w:rPr/>
              <w:t>testosterone</w:t>
            </w:r>
          </w:p>
        </w:tc>
        <w:tc>
          <w:tcPr>
            <w:tcW w:w="1270" w:type="dxa"/>
            <w:tcBorders/>
          </w:tcPr>
          <w:p>
            <w:pPr>
              <w:pStyle w:val="Compact"/>
              <w:spacing w:before="36" w:after="36"/>
              <w:jc w:val="left"/>
              <w:rPr/>
            </w:pPr>
            <w:r>
              <w:rPr/>
              <w:t>0.12</w:t>
            </w:r>
          </w:p>
        </w:tc>
        <w:tc>
          <w:tcPr>
            <w:tcW w:w="1404" w:type="dxa"/>
            <w:tcBorders/>
          </w:tcPr>
          <w:p>
            <w:pPr>
              <w:pStyle w:val="Compact"/>
              <w:spacing w:before="36" w:after="36"/>
              <w:jc w:val="left"/>
              <w:rPr/>
            </w:pPr>
            <w:r>
              <w:rPr/>
              <w:t>g</w:t>
            </w:r>
          </w:p>
        </w:tc>
        <w:tc>
          <w:tcPr>
            <w:tcW w:w="1404" w:type="dxa"/>
            <w:tcBorders/>
          </w:tcPr>
          <w:p>
            <w:pPr>
              <w:pStyle w:val="Compact"/>
              <w:spacing w:before="36" w:after="36"/>
              <w:jc w:val="left"/>
              <w:rPr/>
            </w:pPr>
            <w:r>
              <w:rPr/>
              <w:t>O</w:t>
            </w:r>
          </w:p>
        </w:tc>
        <w:tc>
          <w:tcPr>
            <w:tcW w:w="1404" w:type="dxa"/>
            <w:tcBorders/>
          </w:tcPr>
          <w:p>
            <w:pPr>
              <w:pStyle w:val="Normal"/>
              <w:widowControl/>
              <w:bidi w:val="0"/>
              <w:spacing w:before="0" w:after="200"/>
              <w:jc w:val="left"/>
              <w:rPr/>
            </w:pPr>
            <w:r>
              <w:rPr/>
            </w:r>
          </w:p>
        </w:tc>
      </w:tr>
      <w:tr>
        <w:trPr/>
        <w:tc>
          <w:tcPr>
            <w:tcW w:w="1403" w:type="dxa"/>
            <w:tcBorders/>
          </w:tcPr>
          <w:p>
            <w:pPr>
              <w:pStyle w:val="Normal"/>
              <w:widowControl/>
              <w:bidi w:val="0"/>
              <w:spacing w:before="0" w:after="200"/>
              <w:jc w:val="left"/>
              <w:rPr/>
            </w:pPr>
            <w:r>
              <w:rPr/>
            </w:r>
          </w:p>
        </w:tc>
        <w:tc>
          <w:tcPr>
            <w:tcW w:w="1538" w:type="dxa"/>
            <w:tcBorders/>
          </w:tcPr>
          <w:p>
            <w:pPr>
              <w:pStyle w:val="Normal"/>
              <w:widowControl/>
              <w:bidi w:val="0"/>
              <w:spacing w:before="0" w:after="200"/>
              <w:jc w:val="left"/>
              <w:rPr/>
            </w:pPr>
            <w:r>
              <w:rPr/>
            </w:r>
          </w:p>
        </w:tc>
        <w:tc>
          <w:tcPr>
            <w:tcW w:w="1270" w:type="dxa"/>
            <w:tcBorders/>
          </w:tcPr>
          <w:p>
            <w:pPr>
              <w:pStyle w:val="Compact"/>
              <w:spacing w:before="36" w:after="36"/>
              <w:jc w:val="left"/>
              <w:rPr/>
            </w:pPr>
            <w:r>
              <w:rPr/>
              <w:t>18</w:t>
            </w:r>
          </w:p>
        </w:tc>
        <w:tc>
          <w:tcPr>
            <w:tcW w:w="1404" w:type="dxa"/>
            <w:tcBorders/>
          </w:tcPr>
          <w:p>
            <w:pPr>
              <w:pStyle w:val="Compact"/>
              <w:spacing w:before="36" w:after="36"/>
              <w:jc w:val="left"/>
              <w:rPr/>
            </w:pPr>
            <w:r>
              <w:rPr/>
              <w:t>mg</w:t>
            </w:r>
          </w:p>
        </w:tc>
        <w:tc>
          <w:tcPr>
            <w:tcW w:w="1404" w:type="dxa"/>
            <w:tcBorders/>
          </w:tcPr>
          <w:p>
            <w:pPr>
              <w:pStyle w:val="Compact"/>
              <w:spacing w:before="36" w:after="36"/>
              <w:jc w:val="left"/>
              <w:rPr/>
            </w:pPr>
            <w:r>
              <w:rPr/>
              <w:t>P</w:t>
            </w:r>
          </w:p>
        </w:tc>
        <w:tc>
          <w:tcPr>
            <w:tcW w:w="1404" w:type="dxa"/>
            <w:tcBorders/>
          </w:tcPr>
          <w:p>
            <w:pPr>
              <w:pStyle w:val="Normal"/>
              <w:widowControl/>
              <w:bidi w:val="0"/>
              <w:spacing w:before="0" w:after="200"/>
              <w:jc w:val="left"/>
              <w:rPr/>
            </w:pPr>
            <w:r>
              <w:rPr/>
            </w:r>
          </w:p>
        </w:tc>
      </w:tr>
      <w:tr>
        <w:trPr/>
        <w:tc>
          <w:tcPr>
            <w:tcW w:w="1403" w:type="dxa"/>
            <w:tcBorders/>
          </w:tcPr>
          <w:p>
            <w:pPr>
              <w:pStyle w:val="Normal"/>
              <w:widowControl/>
              <w:bidi w:val="0"/>
              <w:spacing w:before="0" w:after="200"/>
              <w:jc w:val="left"/>
              <w:rPr/>
            </w:pPr>
            <w:r>
              <w:rPr/>
            </w:r>
          </w:p>
        </w:tc>
        <w:tc>
          <w:tcPr>
            <w:tcW w:w="1538" w:type="dxa"/>
            <w:tcBorders/>
          </w:tcPr>
          <w:p>
            <w:pPr>
              <w:pStyle w:val="Normal"/>
              <w:widowControl/>
              <w:bidi w:val="0"/>
              <w:spacing w:before="0" w:after="200"/>
              <w:jc w:val="left"/>
              <w:rPr/>
            </w:pPr>
            <w:r>
              <w:rPr/>
            </w:r>
          </w:p>
        </w:tc>
        <w:tc>
          <w:tcPr>
            <w:tcW w:w="1270" w:type="dxa"/>
            <w:tcBorders/>
          </w:tcPr>
          <w:p>
            <w:pPr>
              <w:pStyle w:val="Compact"/>
              <w:spacing w:before="36" w:after="36"/>
              <w:jc w:val="left"/>
              <w:rPr/>
            </w:pPr>
            <w:r>
              <w:rPr/>
              <w:t>0.12</w:t>
            </w:r>
          </w:p>
        </w:tc>
        <w:tc>
          <w:tcPr>
            <w:tcW w:w="1404" w:type="dxa"/>
            <w:tcBorders/>
          </w:tcPr>
          <w:p>
            <w:pPr>
              <w:pStyle w:val="Compact"/>
              <w:spacing w:before="36" w:after="36"/>
              <w:jc w:val="left"/>
              <w:rPr/>
            </w:pPr>
            <w:r>
              <w:rPr/>
              <w:t>g</w:t>
            </w:r>
          </w:p>
        </w:tc>
        <w:tc>
          <w:tcPr>
            <w:tcW w:w="1404" w:type="dxa"/>
            <w:tcBorders/>
          </w:tcPr>
          <w:p>
            <w:pPr>
              <w:pStyle w:val="Compact"/>
              <w:spacing w:before="36" w:after="36"/>
              <w:jc w:val="left"/>
              <w:rPr/>
            </w:pPr>
            <w:r>
              <w:rPr/>
              <w:t>R</w:t>
            </w:r>
          </w:p>
        </w:tc>
        <w:tc>
          <w:tcPr>
            <w:tcW w:w="1404" w:type="dxa"/>
            <w:tcBorders/>
          </w:tcPr>
          <w:p>
            <w:pPr>
              <w:pStyle w:val="Normal"/>
              <w:widowControl/>
              <w:bidi w:val="0"/>
              <w:spacing w:before="0" w:after="200"/>
              <w:jc w:val="left"/>
              <w:rPr/>
            </w:pPr>
            <w:r>
              <w:rPr/>
            </w:r>
          </w:p>
        </w:tc>
      </w:tr>
      <w:tr>
        <w:trPr/>
        <w:tc>
          <w:tcPr>
            <w:tcW w:w="1403" w:type="dxa"/>
            <w:tcBorders/>
          </w:tcPr>
          <w:p>
            <w:pPr>
              <w:pStyle w:val="Normal"/>
              <w:widowControl/>
              <w:bidi w:val="0"/>
              <w:spacing w:before="0" w:after="200"/>
              <w:jc w:val="left"/>
              <w:rPr/>
            </w:pPr>
            <w:r>
              <w:rPr/>
            </w:r>
          </w:p>
        </w:tc>
        <w:tc>
          <w:tcPr>
            <w:tcW w:w="1538" w:type="dxa"/>
            <w:tcBorders/>
          </w:tcPr>
          <w:p>
            <w:pPr>
              <w:pStyle w:val="Normal"/>
              <w:widowControl/>
              <w:bidi w:val="0"/>
              <w:spacing w:before="0" w:after="200"/>
              <w:jc w:val="left"/>
              <w:rPr/>
            </w:pPr>
            <w:r>
              <w:rPr/>
            </w:r>
          </w:p>
        </w:tc>
        <w:tc>
          <w:tcPr>
            <w:tcW w:w="1270" w:type="dxa"/>
            <w:tcBorders/>
          </w:tcPr>
          <w:p>
            <w:pPr>
              <w:pStyle w:val="Compact"/>
              <w:spacing w:before="36" w:after="36"/>
              <w:jc w:val="left"/>
              <w:rPr/>
            </w:pPr>
            <w:r>
              <w:rPr/>
              <w:t>60</w:t>
            </w:r>
          </w:p>
        </w:tc>
        <w:tc>
          <w:tcPr>
            <w:tcW w:w="1404" w:type="dxa"/>
            <w:tcBorders/>
          </w:tcPr>
          <w:p>
            <w:pPr>
              <w:pStyle w:val="Compact"/>
              <w:spacing w:before="36" w:after="36"/>
              <w:jc w:val="left"/>
              <w:rPr/>
            </w:pPr>
            <w:r>
              <w:rPr/>
              <w:t>mg</w:t>
            </w:r>
          </w:p>
        </w:tc>
        <w:tc>
          <w:tcPr>
            <w:tcW w:w="1404" w:type="dxa"/>
            <w:tcBorders/>
          </w:tcPr>
          <w:p>
            <w:pPr>
              <w:pStyle w:val="Compact"/>
              <w:spacing w:before="36" w:after="36"/>
              <w:jc w:val="left"/>
              <w:rPr/>
            </w:pPr>
            <w:r>
              <w:rPr/>
              <w:t>SL</w:t>
            </w:r>
          </w:p>
        </w:tc>
        <w:tc>
          <w:tcPr>
            <w:tcW w:w="1404" w:type="dxa"/>
            <w:tcBorders/>
          </w:tcPr>
          <w:p>
            <w:pPr>
              <w:pStyle w:val="Normal"/>
              <w:widowControl/>
              <w:bidi w:val="0"/>
              <w:spacing w:before="0" w:after="200"/>
              <w:jc w:val="left"/>
              <w:rPr/>
            </w:pPr>
            <w:r>
              <w:rPr/>
            </w:r>
          </w:p>
        </w:tc>
      </w:tr>
      <w:tr>
        <w:trPr/>
        <w:tc>
          <w:tcPr>
            <w:tcW w:w="1403" w:type="dxa"/>
            <w:tcBorders/>
          </w:tcPr>
          <w:p>
            <w:pPr>
              <w:pStyle w:val="Normal"/>
              <w:widowControl/>
              <w:bidi w:val="0"/>
              <w:spacing w:before="0" w:after="200"/>
              <w:jc w:val="left"/>
              <w:rPr/>
            </w:pPr>
            <w:r>
              <w:rPr/>
            </w:r>
          </w:p>
        </w:tc>
        <w:tc>
          <w:tcPr>
            <w:tcW w:w="1538" w:type="dxa"/>
            <w:tcBorders/>
          </w:tcPr>
          <w:p>
            <w:pPr>
              <w:pStyle w:val="Normal"/>
              <w:widowControl/>
              <w:bidi w:val="0"/>
              <w:spacing w:before="0" w:after="200"/>
              <w:jc w:val="left"/>
              <w:rPr/>
            </w:pPr>
            <w:r>
              <w:rPr/>
            </w:r>
          </w:p>
        </w:tc>
        <w:tc>
          <w:tcPr>
            <w:tcW w:w="1270" w:type="dxa"/>
            <w:tcBorders/>
          </w:tcPr>
          <w:p>
            <w:pPr>
              <w:pStyle w:val="Compact"/>
              <w:spacing w:before="36" w:after="36"/>
              <w:jc w:val="left"/>
              <w:rPr/>
            </w:pPr>
            <w:r>
              <w:rPr/>
              <w:t>50</w:t>
            </w:r>
          </w:p>
        </w:tc>
        <w:tc>
          <w:tcPr>
            <w:tcW w:w="1404" w:type="dxa"/>
            <w:tcBorders/>
          </w:tcPr>
          <w:p>
            <w:pPr>
              <w:pStyle w:val="Compact"/>
              <w:spacing w:before="36" w:after="36"/>
              <w:jc w:val="left"/>
              <w:rPr/>
            </w:pPr>
            <w:r>
              <w:rPr/>
              <w:t>mg</w:t>
            </w:r>
          </w:p>
        </w:tc>
        <w:tc>
          <w:tcPr>
            <w:tcW w:w="1404" w:type="dxa"/>
            <w:tcBorders/>
          </w:tcPr>
          <w:p>
            <w:pPr>
              <w:pStyle w:val="Compact"/>
              <w:spacing w:before="36" w:after="36"/>
              <w:jc w:val="left"/>
              <w:rPr/>
            </w:pPr>
            <w:r>
              <w:rPr/>
              <w:t>TD</w:t>
            </w:r>
          </w:p>
        </w:tc>
        <w:tc>
          <w:tcPr>
            <w:tcW w:w="1404" w:type="dxa"/>
            <w:tcBorders/>
          </w:tcPr>
          <w:p>
            <w:pPr>
              <w:pStyle w:val="Compact"/>
              <w:spacing w:before="36" w:after="36"/>
              <w:jc w:val="left"/>
              <w:rPr/>
            </w:pPr>
            <w:r>
              <w:rPr/>
              <w:t>gel</w:t>
            </w:r>
          </w:p>
        </w:tc>
      </w:tr>
      <w:tr>
        <w:trPr/>
        <w:tc>
          <w:tcPr>
            <w:tcW w:w="1403" w:type="dxa"/>
            <w:tcBorders/>
          </w:tcPr>
          <w:p>
            <w:pPr>
              <w:pStyle w:val="Normal"/>
              <w:widowControl/>
              <w:bidi w:val="0"/>
              <w:spacing w:before="0" w:after="200"/>
              <w:jc w:val="left"/>
              <w:rPr/>
            </w:pPr>
            <w:r>
              <w:rPr/>
            </w:r>
          </w:p>
        </w:tc>
        <w:tc>
          <w:tcPr>
            <w:tcW w:w="1538" w:type="dxa"/>
            <w:tcBorders/>
          </w:tcPr>
          <w:p>
            <w:pPr>
              <w:pStyle w:val="Normal"/>
              <w:widowControl/>
              <w:bidi w:val="0"/>
              <w:spacing w:before="0" w:after="200"/>
              <w:jc w:val="left"/>
              <w:rPr/>
            </w:pPr>
            <w:r>
              <w:rPr/>
            </w:r>
          </w:p>
        </w:tc>
        <w:tc>
          <w:tcPr>
            <w:tcW w:w="1270" w:type="dxa"/>
            <w:tcBorders/>
          </w:tcPr>
          <w:p>
            <w:pPr>
              <w:pStyle w:val="Compact"/>
              <w:spacing w:before="36" w:after="36"/>
              <w:jc w:val="left"/>
              <w:rPr/>
            </w:pPr>
            <w:r>
              <w:rPr/>
              <w:t>3</w:t>
            </w:r>
          </w:p>
        </w:tc>
        <w:tc>
          <w:tcPr>
            <w:tcW w:w="1404" w:type="dxa"/>
            <w:tcBorders/>
          </w:tcPr>
          <w:p>
            <w:pPr>
              <w:pStyle w:val="Compact"/>
              <w:spacing w:before="36" w:after="36"/>
              <w:jc w:val="left"/>
              <w:rPr/>
            </w:pPr>
            <w:r>
              <w:rPr/>
              <w:t>mg</w:t>
            </w:r>
          </w:p>
        </w:tc>
        <w:tc>
          <w:tcPr>
            <w:tcW w:w="1404" w:type="dxa"/>
            <w:tcBorders/>
          </w:tcPr>
          <w:p>
            <w:pPr>
              <w:pStyle w:val="Compact"/>
              <w:spacing w:before="36" w:after="36"/>
              <w:jc w:val="left"/>
              <w:rPr/>
            </w:pPr>
            <w:r>
              <w:rPr/>
              <w:t>TD</w:t>
            </w:r>
          </w:p>
        </w:tc>
        <w:tc>
          <w:tcPr>
            <w:tcW w:w="1404" w:type="dxa"/>
            <w:tcBorders/>
          </w:tcPr>
          <w:p>
            <w:pPr>
              <w:pStyle w:val="Normal"/>
              <w:widowControl/>
              <w:bidi w:val="0"/>
              <w:spacing w:before="0" w:after="200"/>
              <w:jc w:val="left"/>
              <w:rPr/>
            </w:pPr>
            <w:r>
              <w:rPr/>
            </w:r>
          </w:p>
        </w:tc>
      </w:tr>
    </w:tbl>
    <w:p>
      <w:pPr>
        <w:pStyle w:val="Brdtext"/>
        <w:rPr/>
      </w:pPr>
      <w:r>
        <w:rPr/>
        <w:t>Unit: g = gram; mg = milligram</w:t>
      </w:r>
    </w:p>
    <w:p>
      <w:pPr>
        <w:pStyle w:val="Brdtext"/>
        <w:rPr/>
      </w:pPr>
      <w:r>
        <w:rPr/>
        <w:t>Adm.R: administration route, O = oral, P = parenteral (injection), R = rectal, SL = sublingual, TD = transdermal (gel/patch)</w:t>
      </w:r>
    </w:p>
    <w:p>
      <w:pPr>
        <w:pStyle w:val="Brdtext"/>
        <w:rPr/>
      </w:pPr>
      <w:r>
        <w:rPr/>
      </w:r>
    </w:p>
    <w:p>
      <w:pPr>
        <w:pStyle w:val="Brdtext"/>
        <w:rPr/>
      </w:pPr>
      <w:r>
        <w:rPr/>
        <w:t>¶ One prescription contains varying numbers of DDD</w:t>
      </w:r>
      <w:r>
        <w:rPr/>
        <w:t xml:space="preserve">, see source: </w:t>
      </w:r>
      <w:hyperlink r:id="rId3">
        <w:r>
          <w:rPr>
            <w:rStyle w:val="Internetlnk"/>
          </w:rPr>
          <w:t>Swedish pharmacopoeia FASS</w:t>
        </w:r>
      </w:hyperlink>
    </w:p>
    <w:p>
      <w:pPr>
        <w:pStyle w:val="Brdtext"/>
        <w:rPr/>
      </w:pPr>
      <w:r>
        <w:rPr/>
        <w:t xml:space="preserve">† </w:t>
      </w:r>
      <w:r>
        <w:rPr/>
        <w:t>The coordinates are availabe through this API</w:t>
      </w:r>
      <w:r>
        <w:rPr/>
        <w:t xml:space="preserve">, here: </w:t>
      </w:r>
      <w:hyperlink r:id="rId4">
        <w:r>
          <w:rPr>
            <w:rStyle w:val="Internetlnk"/>
          </w:rPr>
          <w:t>Entryscape</w:t>
        </w:r>
      </w:hyperlink>
    </w:p>
    <w:p>
      <w:pPr>
        <w:pStyle w:val="Brdtext"/>
        <w:spacing w:before="180" w:after="180"/>
        <w:rPr>
          <w:rStyle w:val="Internetlnk"/>
        </w:rPr>
      </w:pPr>
      <w:r>
        <w:rPr/>
      </w:r>
    </w:p>
    <w:sect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num>
  <w:num w:numId="7">
    <w:abstractNumId w:val="1"/>
  </w:num>
  <w:num w:numId="8">
    <w:abstractNumId w:val="1"/>
  </w:num>
  <w:num w:numId="9">
    <w:abstractNumId w:val="1"/>
  </w:num>
  <w:num w:numId="10">
    <w:abstractNumId w:val="4"/>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Rubrik1">
    <w:name w:val="Heading 1"/>
    <w:basedOn w:val="Normal"/>
    <w:next w:val="Brdtext"/>
    <w:uiPriority w:val="9"/>
    <w:qFormat/>
    <w:pPr>
      <w:keepNext w:val="true"/>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Rubrik2">
    <w:name w:val="Heading 2"/>
    <w:basedOn w:val="Normal"/>
    <w:next w:val="Brd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Rubrik3">
    <w:name w:val="Heading 3"/>
    <w:basedOn w:val="Normal"/>
    <w:next w:val="Brd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Rubrik4">
    <w:name w:val="Heading 4"/>
    <w:basedOn w:val="Normal"/>
    <w:next w:val="Brd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val="4F81BD" w:themeColor="accent1"/>
      <w:sz w:val="24"/>
      <w:szCs w:val="24"/>
    </w:rPr>
  </w:style>
  <w:style w:type="paragraph" w:styleId="Rubrik5">
    <w:name w:val="Heading 5"/>
    <w:basedOn w:val="Normal"/>
    <w:next w:val="Brd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val="4F81BD" w:themeColor="accent1"/>
      <w:sz w:val="24"/>
      <w:szCs w:val="24"/>
    </w:rPr>
  </w:style>
  <w:style w:type="paragraph" w:styleId="Rubrik6">
    <w:name w:val="Heading 6"/>
    <w:basedOn w:val="Normal"/>
    <w:next w:val="Brd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Rubrik7">
    <w:name w:val="Heading 7"/>
    <w:basedOn w:val="Normal"/>
    <w:next w:val="Brd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Rubrik8">
    <w:name w:val="Heading 8"/>
    <w:basedOn w:val="Normal"/>
    <w:next w:val="Brd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Rubrik9">
    <w:name w:val="Heading 9"/>
    <w:basedOn w:val="Normal"/>
    <w:next w:val="Brd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tnotsankare">
    <w:name w:val="Fotnotsankare"/>
    <w:rPr>
      <w:vertAlign w:val="superscript"/>
    </w:rPr>
  </w:style>
  <w:style w:type="character" w:styleId="FootnoteCharacters">
    <w:name w:val="Footnote Characters"/>
    <w:basedOn w:val="BodyTextChar"/>
    <w:qFormat/>
    <w:rPr>
      <w:vertAlign w:val="superscript"/>
    </w:rPr>
  </w:style>
  <w:style w:type="character" w:styleId="Internetlnk">
    <w:name w:val="Internetlä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AnvndInternetlnk">
    <w:name w:val="Använd Internetlänk"/>
    <w:rPr>
      <w:color w:val="80000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Noto Sans CJK SC" w:cs="Lohit Devanagari"/>
      <w:sz w:val="28"/>
      <w:szCs w:val="28"/>
    </w:rPr>
  </w:style>
  <w:style w:type="paragraph" w:styleId="Brdtext">
    <w:name w:val="Body Text"/>
    <w:basedOn w:val="Normal"/>
    <w:link w:val="BodyTextChar"/>
    <w:qFormat/>
    <w:pPr>
      <w:spacing w:before="180" w:after="180"/>
    </w:pPr>
    <w:rPr/>
  </w:style>
  <w:style w:type="paragraph" w:styleId="Lista">
    <w:name w:val="List"/>
    <w:basedOn w:val="Brdtext"/>
    <w:pPr/>
    <w:rPr>
      <w:rFonts w:cs="Lohit Devanagari"/>
    </w:rPr>
  </w:style>
  <w:style w:type="paragraph" w:styleId="Bildtext">
    <w:name w:val="Caption"/>
    <w:basedOn w:val="Normal"/>
    <w:link w:val="BodyTextChar"/>
    <w:qFormat/>
    <w:pPr>
      <w:spacing w:before="0" w:after="120"/>
    </w:pPr>
    <w:rPr>
      <w:i/>
    </w:rPr>
  </w:style>
  <w:style w:type="paragraph" w:styleId="Frteckning">
    <w:name w:val="Förteckning"/>
    <w:basedOn w:val="Normal"/>
    <w:qFormat/>
    <w:pPr>
      <w:suppressLineNumbers/>
    </w:pPr>
    <w:rPr>
      <w:rFonts w:cs="Lohit Devanagari"/>
    </w:rPr>
  </w:style>
  <w:style w:type="paragraph" w:styleId="FirstParagraph" w:customStyle="1">
    <w:name w:val="First Paragraph"/>
    <w:basedOn w:val="Brdtext"/>
    <w:next w:val="Brdtext"/>
    <w:qFormat/>
    <w:pPr/>
    <w:rPr/>
  </w:style>
  <w:style w:type="paragraph" w:styleId="Compact" w:customStyle="1">
    <w:name w:val="Compact"/>
    <w:basedOn w:val="Brdtext"/>
    <w:qFormat/>
    <w:pPr>
      <w:spacing w:before="36" w:after="36"/>
    </w:pPr>
    <w:rPr/>
  </w:style>
  <w:style w:type="paragraph" w:styleId="Titel">
    <w:name w:val="Title"/>
    <w:basedOn w:val="Normal"/>
    <w:next w:val="Brdtext"/>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Underrubrik">
    <w:name w:val="Subtitle"/>
    <w:basedOn w:val="Titel"/>
    <w:next w:val="Brdtext"/>
    <w:qFormat/>
    <w:pPr>
      <w:keepNext w:val="true"/>
      <w:keepLines/>
      <w:spacing w:before="240" w:after="240"/>
      <w:jc w:val="center"/>
    </w:pPr>
    <w:rPr>
      <w:sz w:val="30"/>
      <w:szCs w:val="30"/>
    </w:rPr>
  </w:style>
  <w:style w:type="paragraph" w:styleId="Author" w:customStyle="1">
    <w:name w:val="Author"/>
    <w:next w:val="Brd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rd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Brdtext"/>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Brdtext"/>
    <w:next w:val="Brdtext"/>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tno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Bildtext"/>
    <w:qFormat/>
    <w:pPr>
      <w:keepNext w:val="true"/>
    </w:pPr>
    <w:rPr/>
  </w:style>
  <w:style w:type="paragraph" w:styleId="ImageCaption" w:customStyle="1">
    <w:name w:val="Image Caption"/>
    <w:basedOn w:val="Bildtext"/>
    <w:qFormat/>
    <w:pPr/>
    <w:rPr/>
  </w:style>
  <w:style w:type="paragraph" w:styleId="Figur" w:customStyle="1">
    <w:name w:val="Figur"/>
    <w:basedOn w:val="Normal"/>
    <w:qFormat/>
    <w:pPr/>
    <w:rPr/>
  </w:style>
  <w:style w:type="paragraph" w:styleId="CaptionedFigure" w:customStyle="1">
    <w:name w:val="Captioned Figure"/>
    <w:basedOn w:val="Figur"/>
    <w:qFormat/>
    <w:pPr>
      <w:keepNext w:val="true"/>
    </w:pPr>
    <w:rPr/>
  </w:style>
  <w:style w:type="paragraph" w:styleId="TOCHeading">
    <w:name w:val="TOC Heading"/>
    <w:basedOn w:val="Rubrik1"/>
    <w:next w:val="Brdtext"/>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hocc.no/atc_ddd_index/?code=G03BA03" TargetMode="External"/><Relationship Id="rId3" Type="http://schemas.openxmlformats.org/officeDocument/2006/relationships/hyperlink" Target="https://www.fass.se/LIF/atcregister?userType=0&amp;atcCode=G03BA03" TargetMode="External"/><Relationship Id="rId4" Type="http://schemas.openxmlformats.org/officeDocument/2006/relationships/hyperlink" Target="https://vgregion.entryscape.net/rowstore/dataset/70241cef-e111-4b07-bb55-99b5981f47de/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LibreOffice/6.4.7.2$Linux_X86_64 LibreOffice_project/40$Build-2</Application>
  <Pages>2</Pages>
  <Words>603</Words>
  <Characters>3208</Characters>
  <CharactersWithSpaces>3739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2022-10-09T21:39:42Z</dcterms:created>
  <dc:creator/>
  <dc:description/>
  <dc:language>sv-SE</dc:language>
  <cp:lastModifiedBy>Staffan </cp:lastModifiedBy>
  <dcterms:modified xsi:type="dcterms:W3CDTF">2022-10-09T23:43:08Z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